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36540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Kabinet ministra bez portfelja zaduženog za unapređenje razvoja nedovoljno razvijenih opština</w:t>
      </w:r>
    </w:p>
    <w:p w:rsidR="001F55F6" w:rsidRPr="001F55F6" w:rsidRDefault="0036540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102211930</w:t>
      </w:r>
    </w:p>
    <w:p w:rsidR="001F55F6" w:rsidRPr="001F55F6" w:rsidRDefault="0036540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Nemanjina 11</w:t>
      </w:r>
    </w:p>
    <w:p w:rsidR="001F55F6" w:rsidRPr="001F55F6" w:rsidRDefault="0036540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36540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6540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07.06.2021</w:t>
      </w:r>
    </w:p>
    <w:p w:rsidR="001F55F6" w:rsidRPr="001F55F6" w:rsidRDefault="0036540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404-00-12/2021-01/11</w:t>
      </w:r>
    </w:p>
    <w:p w:rsidR="001F55F6" w:rsidRPr="00A9707B" w:rsidRDefault="0036540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(„Službeni glasnik“, broj 91/19), naručilac donosi,</w:t>
      </w:r>
    </w:p>
    <w:p w:rsidR="001F55F6" w:rsidRPr="001F55F6" w:rsidRDefault="0036540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36540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Kabinet ministra bez portfelja zaduženog za unapređenje razvoja nedovoljno razvijenih opština</w:t>
      </w:r>
    </w:p>
    <w:p w:rsidR="001F55F6" w:rsidRPr="001F55F6" w:rsidRDefault="0036540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404-00-12/2021-01</w:t>
      </w:r>
    </w:p>
    <w:p w:rsidR="001F55F6" w:rsidRPr="001F55F6" w:rsidRDefault="0036540C" w:rsidP="001F55F6">
      <w:pPr>
        <w:pStyle w:val="Odjeljci"/>
        <w:spacing w:before="120"/>
        <w:ind w:left="1418" w:hanging="1418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="000F6975">
        <w:rPr>
          <w:rFonts w:ascii="Calibri" w:eastAsia="Calibri" w:hAnsi="Calibri" w:cs="Calibri"/>
          <w:sz w:val="20"/>
          <w:szCs w:val="20"/>
        </w:rPr>
        <w:t>Organizacija događaja za predstavljanje mera u  oblasti unapređenja razvoja nerazvijenih opština</w:t>
      </w:r>
    </w:p>
    <w:p w:rsidR="000F6975" w:rsidRDefault="000F697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</w:rPr>
      </w:pPr>
    </w:p>
    <w:p w:rsidR="001F55F6" w:rsidRPr="001F55F6" w:rsidRDefault="0036540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F26-0000536</w:t>
      </w:r>
    </w:p>
    <w:p w:rsidR="001F55F6" w:rsidRPr="001F55F6" w:rsidRDefault="0036540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6540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79952000</w:t>
      </w:r>
    </w:p>
    <w:p w:rsidR="001F55F6" w:rsidRPr="001F55F6" w:rsidRDefault="0036540C" w:rsidP="00B84A8C">
      <w:pPr>
        <w:pStyle w:val="Odjeljci"/>
        <w:spacing w:before="120"/>
        <w:ind w:left="2155" w:hanging="2155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="000F6975">
        <w:rPr>
          <w:rFonts w:ascii="Calibri" w:eastAsia="Calibri" w:hAnsi="Calibri" w:cs="Calibri"/>
          <w:sz w:val="20"/>
          <w:szCs w:val="20"/>
        </w:rPr>
        <w:t>Organizacija događaja za predstavljanje mera u  oblasti unapređenja razvoja nerazvijenih opština</w:t>
      </w:r>
    </w:p>
    <w:p w:rsidR="000F6975" w:rsidRDefault="000F697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</w:rPr>
      </w:pPr>
    </w:p>
    <w:p w:rsidR="001F55F6" w:rsidRPr="00B84A8C" w:rsidRDefault="0036540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10.000.000,00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6540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D707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6540C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UNITED MOMENT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108653476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ALEKSANDRA DUBČEKA, 26 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BEOGRAD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6540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9.700.000,00</w:t>
      </w:r>
    </w:p>
    <w:p w:rsidR="001F55F6" w:rsidRPr="00B84A8C" w:rsidRDefault="0036540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11.640.000,00</w:t>
      </w:r>
    </w:p>
    <w:p w:rsidR="001F55F6" w:rsidRPr="00B84A8C" w:rsidRDefault="0036540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5782"/>
        <w:gridCol w:w="9603"/>
        <w:gridCol w:w="13"/>
        <w:gridCol w:w="179"/>
      </w:tblGrid>
      <w:tr w:rsidR="00FD707E">
        <w:trPr>
          <w:trHeight w:val="453"/>
        </w:trPr>
        <w:tc>
          <w:tcPr>
            <w:tcW w:w="15588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49"/>
            </w:tblGrid>
            <w:tr w:rsidR="00FD707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07E">
        <w:trPr>
          <w:trHeight w:val="40"/>
        </w:trPr>
        <w:tc>
          <w:tcPr>
            <w:tcW w:w="11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5782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60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c>
          <w:tcPr>
            <w:tcW w:w="15396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FD707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Organizacija događaja za predstavljanje mera u  oblasti unapređenja razvoja nerazvijenih opština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404-00-12/2021-01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Pregovarački postupak bez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objavljivanja javnog poziva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404-00-12/2021-01/2, 17.05.2021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10.000.000,00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FD70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79952000-Organizovanje raznih dešavanja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Organizacija događaja za predstavljanje mera u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oblasti unapređenja razvoja nerazvijenih opština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D707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FD70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Član 61. stav 7.-ako u otvorenom postupku, odnosno restriktivnom postupku nije dobio nijednu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ponudu ili su sve ponude neodgovarajuće, odnosno nijednu prijavu ili nijednu odgovarajuću prijavu, pod uslovom da početni uslovi javne nabavke nisu bitno izmenjeni</w:t>
                  </w:r>
                </w:p>
              </w:tc>
            </w:tr>
            <w:tr w:rsidR="00FD707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Razlog za primenu pregovaračkog postupka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bez objavljivanja javnog poziva u postupku javne nabavke usluge – „Organizacija događaja za predstavljanje mera u oblasti unapređenja razvoja nerazvijenih opština” sadržan je u činjenici da u sprovedenom otvorenom postupku za navedenu javnu nabavku Broj: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O 02/2021 nije dobijena nijedna ponuda. 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F26-0000536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18.05.2021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28.05.2021 10:00:00</w:t>
                  </w: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c>
          <w:tcPr>
            <w:tcW w:w="15409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D707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Članovi komisije za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javnu nabavku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Milan Đinđić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Perušinović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Gordana Bjelobr</w:t>
                  </w: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rPr>
          <w:trHeight w:val="510"/>
        </w:trPr>
        <w:tc>
          <w:tcPr>
            <w:tcW w:w="15409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D707E"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FFFFFF"/>
                      <w:sz w:val="28"/>
                      <w:szCs w:val="20"/>
                    </w:rPr>
                    <w:t>Faza postupka: Početne ponude</w:t>
                  </w: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c>
          <w:tcPr>
            <w:tcW w:w="15396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D707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Podaci o predmetu / partijama</w:t>
                  </w:r>
                </w:p>
              </w:tc>
            </w:tr>
            <w:tr w:rsidR="00FD707E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D707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Ovo je konačna faza podnošenja ponuda u postupku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Organizacija događaja za predstavljanje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mera u  oblasti unapređenja razvoja nerazvijenih opština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707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59"/>
                          <w:gridCol w:w="2841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 Kvalitet ponude izrade projektnog zadatka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707E" w:rsidRDefault="00FD70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rPr>
          <w:trHeight w:val="56"/>
        </w:trPr>
        <w:tc>
          <w:tcPr>
            <w:tcW w:w="11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5782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960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c>
          <w:tcPr>
            <w:tcW w:w="11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33"/>
              <w:gridCol w:w="11613"/>
            </w:tblGrid>
            <w:tr w:rsidR="00FD707E"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18.05.2021 13:23:51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28.05.2021 10:00:00</w:t>
                  </w: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c>
          <w:tcPr>
            <w:tcW w:w="11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578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4"/>
              <w:gridCol w:w="677"/>
              <w:gridCol w:w="677"/>
              <w:gridCol w:w="677"/>
            </w:tblGrid>
            <w:tr w:rsidR="00FD707E"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106055466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W&amp;E PRODUCTION STUDIO DOO BEOGRAD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108653476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UNITED MOMENT DOO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108745697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RED COMMUNICATION DOO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BEOGRAD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Organizacija događaja za predstavljanje mera u  oblasti unapređenja razvoja nerazvijenih opština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D707E" w:rsidRDefault="0036540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D707E" w:rsidRDefault="00FD707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D707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D707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28.05.2021 10:00:00</w:t>
                  </w:r>
                </w:p>
              </w:tc>
            </w:tr>
            <w:tr w:rsidR="00FD707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28.05.2021 10:05:40</w:t>
                  </w:r>
                </w:p>
              </w:tc>
            </w:tr>
            <w:tr w:rsidR="00FD707E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D707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707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FD707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RED COMMUNICATION DOO BEOGRAD, CARA DUŠANA, 62, 11000, Beograd (Stari 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27.5.2021. 15:45:38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UNITED MOMENT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DOO, ALEKSANDRA DUBČEKA, 26 B,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27.5.2021. 16:26:19</w:t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D707E" w:rsidRDefault="00FD70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rPr>
          <w:trHeight w:val="62"/>
        </w:trPr>
        <w:tc>
          <w:tcPr>
            <w:tcW w:w="15397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D707E" w:rsidRDefault="0036540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D707E" w:rsidRDefault="00FD707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D707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D707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D707E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6"/>
                    <w:gridCol w:w="5917"/>
                  </w:tblGrid>
                  <w:tr w:rsidR="00FD707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42"/>
                          <w:gridCol w:w="1102"/>
                          <w:gridCol w:w="1132"/>
                          <w:gridCol w:w="978"/>
                          <w:gridCol w:w="1095"/>
                          <w:gridCol w:w="1719"/>
                          <w:gridCol w:w="1011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FD70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2. Kvalitet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 izrade projektnog zadatka [ponder]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RED COMMUNICATION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računa na račun Ponuđača(Izvršioca)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UNITED MOMENT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 datuma fakturisanja, putem fakture na račun firme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D707E" w:rsidRDefault="00FD70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rPr>
          <w:trHeight w:val="50"/>
        </w:trPr>
        <w:tc>
          <w:tcPr>
            <w:tcW w:w="15392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D707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D707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5"/>
                    <w:gridCol w:w="5918"/>
                  </w:tblGrid>
                  <w:tr w:rsidR="00FD707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41"/>
                          <w:gridCol w:w="1102"/>
                          <w:gridCol w:w="1132"/>
                          <w:gridCol w:w="978"/>
                          <w:gridCol w:w="1095"/>
                          <w:gridCol w:w="1719"/>
                          <w:gridCol w:w="1011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FD70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2. Kvalitet ponude izrade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projektnog zadatka [ponder]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RED COMMUNICATION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računa na račun Ponuđača(Izvršioca)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UNITED MOMENT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od datuma fakturisanja, putem fakture na račun firme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D707E" w:rsidRDefault="00FD70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rPr>
          <w:trHeight w:val="48"/>
        </w:trPr>
        <w:tc>
          <w:tcPr>
            <w:tcW w:w="15392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D707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707E" w:rsidRDefault="0036540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D707E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D707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2813"/>
                          <w:gridCol w:w="2811"/>
                          <w:gridCol w:w="2143"/>
                          <w:gridCol w:w="2145"/>
                          <w:gridCol w:w="896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RED COMMUNICATION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9.800.000,00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11.760.000,00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pogledu kriterijuma za izbor privrednog subjekta koji su zahtevani u konkursnoj dokumentaciji, Komisija je utvrdila da ponuđač nije u potpunosti ispunio uslov 2. Tehnički i stručni kapacitet i to u delu 2.2. Obrazovne i stru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čne kvalifikacije za najmanje jedno lice sa iskustvom minimum 10 godina na poslovima strateškog planiranja, organizacije i realizacije događaja i manifestacija, od čega minimum 5 godina iskustva u rukovođenju, jer je predložio lice bez iskustva u rukovođen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ju, kao i u delu 2.3. Alati, pogonska ili tehnička oprema, u kojem je zahtevano da ponuđač poseduje najmanje 1 terensko vozilo do 5 sedišta, uključujući i sedište vozača, da poseduje najmanje jedno vozilo sa minimum 8 sedišta, uključujući i sedište vozača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 da poseduje opremu za audio i video produkciju, jer nije naveo da poseduje najmanje jedno vozilo sa minimum 8 sedišta, uključujući i sedište vozača i nije naveo da poseduje opremu za audio i video produkciju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Osim navedenog, ponuđač nije dostavio 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rojektni zadatak kako je navedeno u delu „Tehničke specifikacije predmeta javne nabavkeˮ, koji je jedan od kriterijuma ponderisanja za izbor ekonomski najpovoljnije ponude.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Na osnovu iznetog, a u skladu sa članom 144. stav 1. tačka 2) i 3) Zakona o javnim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nabavkama, kojim je propisano da naručilac nakon pregleda i stručne ocene, odbija ponudu kao neprihvatljivu između ostalog, i ako utvrdi da nisu ispunjeni kriterijumi za izbor privrednog subjekta i nisu ispunjeni zahtevi i uslovi u vezi sa predmetom nabavk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 i tehničkim specifikacijama, Komisija je jednoglasno odbila Ponudu broj: 07/21, od 27. maja 2021. godine, ponuđača: RED COMMUNICATION DOO BEOGRAD, Cara Dušana 62, 11000 Beograd (Stari Graad), kao neprihvatljivu, jer nisu ispunjeni kriterijumi za  izbor p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rivrednog subjekta zahtevani u konkursnoj dokumentaciji u delu 2.2. Obrazovne i stručne kvalifikacije, u delu 2.3. Alati, pogonska ili tehnička oprema i nije dostavljen projektni zadatak kako je navedeno u delu „Tehničke specifikacije predmeta javne nabavk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eˮ.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FD70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FD70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uslovi u vezi sa predmetom nabavke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tehničkim specifikacijama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UNITED MOMENT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9.700.000,00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707E" w:rsidRDefault="00FD70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rPr>
          <w:trHeight w:val="14"/>
        </w:trPr>
        <w:tc>
          <w:tcPr>
            <w:tcW w:w="15392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D707E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D707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D707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FD70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D707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FD70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707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707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UNITED MOMENT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FD707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707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707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D707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D707E" w:rsidRDefault="0036540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- U postupku stručne ocene Ponude broj: 120/2021 od 27. maja 2021. godine, Ponuđača UNITED MOMENT DOO, Aleksandra Dubčeka 26B, 11080 Beograd (Zemun), utvrđeno je da ista ispunjava sve uslove iz Zakona o javnim nabavkama i uslove iz konkursne dokumentacije,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na osnovu čega je navedena ponuda ocenjena kao prihvatljiva ponuda u postupku javne nabavke usluga - „Organizacija događaja za predstavljanje mera u oblasti unapređenja razvoja nerazvijenih opština”.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Postupak pregovaranja sproveden je 31. maja 2021. godi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 u 14:00 časova, sa ponuđačem UNITED MOMENT DOO, Aleksandra Dubčeka 26B, 11080 Beograd, čija je Ponuda broj: 120/2021 od 27. maja 2021. godine, u postupku stručne ocene ponuda ocenjena kao jedina prihvatljiva ponuda, o čemu je sastavljen Zapisnik o prego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varanju Broj: 404-00-12/2021-01/9.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D707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D707E" w:rsidRDefault="00FD707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D707E" w:rsidRDefault="00FD707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D707E">
        <w:trPr>
          <w:trHeight w:val="523"/>
        </w:trPr>
        <w:tc>
          <w:tcPr>
            <w:tcW w:w="15392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D707E" w:rsidRDefault="00FD707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D707E" w:rsidRDefault="00FD707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D70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6540C" w:rsidP="008C5725"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- U postupku stručne ocene Ponude broj: 120/2021 od 27. maja 2021. godine, Ponuđača UNITED MOMENT DOO, Aleksandra Dubčeka 26B, 11080 Beograd (Zemun), utvrđeno je da ista ispunjava sve uslove iz Zakona o javnim nabavkama i uslove iz konkursne dokumentacije,</w:t>
      </w:r>
      <w:r>
        <w:rPr>
          <w:rFonts w:ascii="Calibri" w:eastAsia="Calibri" w:hAnsi="Calibri" w:cs="Calibri"/>
        </w:rPr>
        <w:t xml:space="preserve"> na osnovu čega je navedena ponuda ocenjena kao prihvatljiva ponuda u postupku javne nabavke usluga - „Organizacija događaja za predstavljanje mera u oblasti unapređenja razvoja nerazvijenih opština”. </w:t>
      </w:r>
    </w:p>
    <w:p w:rsidR="00FD707E" w:rsidRDefault="0036540C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Postupak pregovaranja sproveden je 31. maja 2021. godi</w:t>
      </w:r>
      <w:r>
        <w:rPr>
          <w:rFonts w:ascii="Calibri" w:eastAsia="Calibri" w:hAnsi="Calibri" w:cs="Calibri"/>
        </w:rPr>
        <w:t>ne u 14:00 časova, sa ponuđačem UNITED MOMENT DOO, Aleksandra Dubčeka 26B, 11080 Beograd, čija je Ponuda broj: 120/2021 od 27. maja 2021. godine, u postupku stručne ocene ponuda ocenjena kao jedina prihvatljiva ponuda, o čemu je sastavljen Zapisnik o prego</w:t>
      </w:r>
      <w:r>
        <w:rPr>
          <w:rFonts w:ascii="Calibri" w:eastAsia="Calibri" w:hAnsi="Calibri" w:cs="Calibri"/>
        </w:rPr>
        <w:t>varanju Broj: 404-00-12/2021-01/9.</w:t>
      </w:r>
    </w:p>
    <w:p w:rsidR="00FD707E" w:rsidRDefault="00FD707E" w:rsidP="008C5725">
      <w:pPr>
        <w:rPr>
          <w:rFonts w:ascii="Calibri" w:eastAsia="Calibri" w:hAnsi="Calibri" w:cs="Calibri"/>
        </w:rPr>
      </w:pPr>
    </w:p>
    <w:p w:rsidR="001F55F6" w:rsidRPr="00F61EC9" w:rsidRDefault="0036540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36540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0C" w:rsidRDefault="0036540C">
      <w:pPr>
        <w:spacing w:before="0" w:after="0"/>
      </w:pPr>
      <w:r>
        <w:separator/>
      </w:r>
    </w:p>
  </w:endnote>
  <w:endnote w:type="continuationSeparator" w:id="0">
    <w:p w:rsidR="0036540C" w:rsidRDefault="003654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36540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83BB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0C" w:rsidRDefault="0036540C">
      <w:pPr>
        <w:spacing w:before="0" w:after="0"/>
      </w:pPr>
      <w:r>
        <w:separator/>
      </w:r>
    </w:p>
  </w:footnote>
  <w:footnote w:type="continuationSeparator" w:id="0">
    <w:p w:rsidR="0036540C" w:rsidRDefault="003654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7E" w:rsidRDefault="00FD70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6540C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83BBF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D707E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7B41B-E641-4001-AC26-024275C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B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B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cp:lastPrinted>2021-06-07T10:28:00Z</cp:lastPrinted>
  <dcterms:created xsi:type="dcterms:W3CDTF">2021-06-07T10:32:00Z</dcterms:created>
  <dcterms:modified xsi:type="dcterms:W3CDTF">2021-06-07T10:32:00Z</dcterms:modified>
</cp:coreProperties>
</file>